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02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90"/>
        <w:gridCol w:w="1622"/>
        <w:gridCol w:w="5098"/>
        <w:gridCol w:w="100"/>
        <w:gridCol w:w="8"/>
      </w:tblGrid>
      <w:tr w:rsidR="006D38E2" w14:paraId="6D8E2970" w14:textId="77777777" w:rsidTr="00395F14">
        <w:trPr>
          <w:gridBefore w:val="1"/>
          <w:wBefore w:w="108" w:type="dxa"/>
          <w:trHeight w:val="340"/>
        </w:trPr>
        <w:tc>
          <w:tcPr>
            <w:tcW w:w="9918" w:type="dxa"/>
            <w:gridSpan w:val="5"/>
            <w:shd w:val="clear" w:color="auto" w:fill="651D32"/>
            <w:vAlign w:val="center"/>
          </w:tcPr>
          <w:p w14:paraId="2EB84079" w14:textId="77777777" w:rsidR="006D38E2" w:rsidRPr="006D38E2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</w:rPr>
            </w:pPr>
            <w:r w:rsidRPr="006D38E2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395F14">
        <w:trPr>
          <w:gridBefore w:val="1"/>
          <w:wBefore w:w="108" w:type="dxa"/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4"/>
            <w:shd w:val="clear" w:color="auto" w:fill="auto"/>
            <w:vAlign w:val="center"/>
          </w:tcPr>
          <w:p w14:paraId="6C77C4E8" w14:textId="77777777" w:rsidR="00A70556" w:rsidRDefault="00A70556" w:rsidP="00A70556">
            <w:pPr>
              <w:spacing w:after="0" w:line="276" w:lineRule="auto"/>
            </w:pPr>
            <w:r w:rsidRPr="009C2562">
              <w:t xml:space="preserve">Evaluación </w:t>
            </w:r>
            <w:r w:rsidR="000851A2">
              <w:t xml:space="preserve">Específica </w:t>
            </w:r>
            <w:r w:rsidRPr="009C2562">
              <w:t xml:space="preserve">del </w:t>
            </w:r>
            <w:r w:rsidR="000851A2">
              <w:t>D</w:t>
            </w:r>
            <w:r w:rsidRPr="009C2562">
              <w:t>esempeño</w:t>
            </w:r>
            <w:r w:rsidR="000851A2">
              <w:t xml:space="preserve"> (EED)</w:t>
            </w:r>
          </w:p>
        </w:tc>
      </w:tr>
      <w:tr w:rsidR="00395F14" w:rsidRPr="00A70556" w14:paraId="4AC6AEC6" w14:textId="77777777" w:rsidTr="00395F14">
        <w:trPr>
          <w:gridAfter w:val="2"/>
          <w:wAfter w:w="108" w:type="dxa"/>
          <w:trHeight w:val="340"/>
        </w:trPr>
        <w:tc>
          <w:tcPr>
            <w:tcW w:w="4820" w:type="dxa"/>
            <w:gridSpan w:val="3"/>
            <w:shd w:val="clear" w:color="auto" w:fill="F2F2F2" w:themeFill="background1" w:themeFillShade="F2"/>
            <w:vAlign w:val="center"/>
          </w:tcPr>
          <w:p w14:paraId="78F08298" w14:textId="77777777" w:rsidR="00395F14" w:rsidRPr="00A70556" w:rsidRDefault="00395F14" w:rsidP="006C1EC9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3DCF0A30" w14:textId="77777777" w:rsidR="00395F14" w:rsidRPr="00A70556" w:rsidRDefault="00395F14" w:rsidP="006C1EC9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395F14" w14:paraId="6AE95A0A" w14:textId="77777777" w:rsidTr="00395F14">
        <w:trPr>
          <w:gridAfter w:val="2"/>
          <w:wAfter w:w="108" w:type="dxa"/>
          <w:trHeight w:val="340"/>
        </w:trPr>
        <w:tc>
          <w:tcPr>
            <w:tcW w:w="4820" w:type="dxa"/>
            <w:gridSpan w:val="3"/>
            <w:shd w:val="clear" w:color="auto" w:fill="auto"/>
            <w:vAlign w:val="center"/>
          </w:tcPr>
          <w:p w14:paraId="432BCBE1" w14:textId="1C61F613" w:rsidR="00395F14" w:rsidRPr="00A70556" w:rsidRDefault="00395F14" w:rsidP="006C1EC9">
            <w:pPr>
              <w:spacing w:after="0" w:line="276" w:lineRule="auto"/>
              <w:jc w:val="center"/>
              <w:rPr>
                <w:b/>
                <w:bCs/>
              </w:rPr>
            </w:pPr>
            <w:r w:rsidRPr="005D1F4D">
              <w:t>3</w:t>
            </w:r>
            <w:r w:rsidR="00A63A24">
              <w:t>0</w:t>
            </w:r>
            <w:r w:rsidRPr="005D1F4D">
              <w:t>/</w:t>
            </w:r>
            <w:r>
              <w:t>0</w:t>
            </w:r>
            <w:r w:rsidR="00A63A24">
              <w:t>4</w:t>
            </w:r>
            <w:r w:rsidRPr="005D1F4D">
              <w:t>/202</w:t>
            </w:r>
            <w:r>
              <w:t>2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02394A70" w14:textId="6E56B7F4" w:rsidR="00395F14" w:rsidRPr="00A70556" w:rsidRDefault="00395F14" w:rsidP="006C1EC9">
            <w:pPr>
              <w:spacing w:after="0" w:line="276" w:lineRule="auto"/>
              <w:jc w:val="center"/>
              <w:rPr>
                <w:b/>
                <w:bCs/>
              </w:rPr>
            </w:pPr>
            <w:r>
              <w:t>1</w:t>
            </w:r>
            <w:r w:rsidR="00A63A24">
              <w:t>6</w:t>
            </w:r>
            <w:r w:rsidRPr="005D1F4D">
              <w:t>/</w:t>
            </w:r>
            <w:r>
              <w:t>0</w:t>
            </w:r>
            <w:r w:rsidR="00A63A24">
              <w:t>6</w:t>
            </w:r>
            <w:r w:rsidRPr="005D1F4D">
              <w:t>/</w:t>
            </w:r>
            <w:r>
              <w:t>2022</w:t>
            </w:r>
          </w:p>
        </w:tc>
      </w:tr>
      <w:tr w:rsidR="00A70556" w14:paraId="6B7EC127" w14:textId="77777777" w:rsidTr="00395F14">
        <w:trPr>
          <w:gridBefore w:val="1"/>
          <w:wBefore w:w="108" w:type="dxa"/>
          <w:trHeight w:val="340"/>
        </w:trPr>
        <w:tc>
          <w:tcPr>
            <w:tcW w:w="9918" w:type="dxa"/>
            <w:gridSpan w:val="5"/>
            <w:shd w:val="clear" w:color="auto" w:fill="F2F2F2" w:themeFill="background1" w:themeFillShade="F2"/>
            <w:vAlign w:val="center"/>
          </w:tcPr>
          <w:p w14:paraId="615A97CF" w14:textId="783CF68E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  <w:r w:rsidR="00B91723">
              <w:rPr>
                <w:b/>
                <w:bCs/>
              </w:rPr>
              <w:t xml:space="preserve"> </w:t>
            </w:r>
          </w:p>
        </w:tc>
      </w:tr>
      <w:tr w:rsidR="00A70556" w14:paraId="37454C6A" w14:textId="77777777" w:rsidTr="00395F14">
        <w:trPr>
          <w:gridBefore w:val="1"/>
          <w:wBefore w:w="108" w:type="dxa"/>
          <w:trHeight w:val="340"/>
        </w:trPr>
        <w:tc>
          <w:tcPr>
            <w:tcW w:w="9918" w:type="dxa"/>
            <w:gridSpan w:val="5"/>
            <w:shd w:val="clear" w:color="auto" w:fill="auto"/>
            <w:vAlign w:val="center"/>
          </w:tcPr>
          <w:p w14:paraId="78C4F704" w14:textId="6DE0B7AD" w:rsidR="00A70556" w:rsidRPr="002C74F0" w:rsidRDefault="000C18FD" w:rsidP="00521401">
            <w:pPr>
              <w:pStyle w:val="Prrafodelista"/>
              <w:spacing w:after="0" w:line="276" w:lineRule="auto"/>
              <w:ind w:left="37"/>
              <w:jc w:val="both"/>
              <w:rPr>
                <w:b/>
                <w:bCs/>
              </w:rPr>
            </w:pPr>
            <w:r w:rsidRPr="002C74F0">
              <w:t>Lic. José Luis Alvarado Medrano</w:t>
            </w:r>
            <w:r w:rsidR="00A70556" w:rsidRPr="002C74F0">
              <w:t xml:space="preserve">, </w:t>
            </w:r>
            <w:r w:rsidRPr="002C74F0">
              <w:rPr>
                <w:rFonts w:eastAsia="Times New Roman"/>
                <w:color w:val="000000"/>
                <w:lang w:eastAsia="es-MX"/>
              </w:rPr>
              <w:t>Instituto Sinaloense para la Educación de los Jóvenes y Adultos (ISEJA)</w:t>
            </w:r>
          </w:p>
        </w:tc>
      </w:tr>
      <w:tr w:rsidR="00A70556" w14:paraId="79DD6CAD" w14:textId="77777777" w:rsidTr="00395F14">
        <w:trPr>
          <w:gridBefore w:val="1"/>
          <w:gridAfter w:val="1"/>
          <w:wBefore w:w="108" w:type="dxa"/>
          <w:wAfter w:w="8" w:type="dxa"/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51AB5DD6" w:rsidR="00B920F2" w:rsidRDefault="00A165BB" w:rsidP="00521401">
      <w:pPr>
        <w:pStyle w:val="Prrafodelista"/>
        <w:spacing w:after="0" w:line="276" w:lineRule="auto"/>
        <w:ind w:left="142"/>
        <w:jc w:val="both"/>
      </w:pPr>
      <w:r w:rsidRPr="00A63712">
        <w:rPr>
          <w:rFonts w:eastAsia="Times New Roman"/>
          <w:bCs/>
          <w:color w:val="000000"/>
          <w:lang w:eastAsia="es-MX"/>
        </w:rPr>
        <w:t xml:space="preserve">Evaluar el desempeño del </w:t>
      </w:r>
      <w:r w:rsidR="000C18FD" w:rsidRPr="000C18FD">
        <w:rPr>
          <w:rFonts w:eastAsia="Times New Roman"/>
          <w:b/>
          <w:color w:val="000000"/>
          <w:lang w:eastAsia="es-MX"/>
        </w:rPr>
        <w:t>Servicios Descentralizados para la Educación de los Adultos</w:t>
      </w:r>
      <w:r w:rsidRPr="00A63712">
        <w:rPr>
          <w:rFonts w:eastAsia="Times New Roman"/>
          <w:bCs/>
          <w:color w:val="000000"/>
          <w:lang w:eastAsia="es-MX"/>
        </w:rPr>
        <w:t xml:space="preserve"> del ejercicio fiscal 202</w:t>
      </w:r>
      <w:r>
        <w:rPr>
          <w:rFonts w:eastAsia="Times New Roman"/>
          <w:bCs/>
          <w:color w:val="000000"/>
          <w:lang w:eastAsia="es-MX"/>
        </w:rPr>
        <w:t>1</w:t>
      </w:r>
      <w:r w:rsidRPr="00A63712">
        <w:rPr>
          <w:rFonts w:eastAsia="Times New Roman"/>
          <w:bCs/>
          <w:color w:val="000000"/>
          <w:lang w:eastAsia="es-MX"/>
        </w:rPr>
        <w:t>, con base en la información entregada por el área responsable del programa, con una valoración de los resultados e impactos derivados del cumplimiento de las metas establecidas en el programa.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156AE89D" w14:textId="77777777" w:rsidR="009B7088" w:rsidRDefault="009B7088" w:rsidP="006F4B1F">
      <w:pPr>
        <w:pStyle w:val="Prrafodelista"/>
        <w:numPr>
          <w:ilvl w:val="0"/>
          <w:numId w:val="2"/>
        </w:numPr>
        <w:spacing w:after="0" w:line="276" w:lineRule="auto"/>
        <w:ind w:left="426" w:hanging="219"/>
        <w:jc w:val="both"/>
      </w:pPr>
      <w:r>
        <w:t>Estimar el impacto generado y emitir juicios de valor, derivado de la satisfacción de las personas que utilizan los servicios del programa, lo que contribuye al desarrollo de la entidad y sus índices de competitividad.</w:t>
      </w:r>
    </w:p>
    <w:p w14:paraId="416A79BF" w14:textId="77777777" w:rsidR="009B7088" w:rsidRDefault="009B7088" w:rsidP="006F4B1F">
      <w:pPr>
        <w:pStyle w:val="Prrafodelista"/>
        <w:numPr>
          <w:ilvl w:val="0"/>
          <w:numId w:val="2"/>
        </w:numPr>
        <w:spacing w:after="0" w:line="276" w:lineRule="auto"/>
        <w:ind w:left="426" w:hanging="219"/>
        <w:jc w:val="both"/>
      </w:pPr>
      <w:r>
        <w:t xml:space="preserve">Realizar una valoración general de los resultados y productos del programa, así como el desempeño institucional en la operación del programa. </w:t>
      </w:r>
    </w:p>
    <w:p w14:paraId="2CCD5C65" w14:textId="77777777" w:rsidR="009B7088" w:rsidRDefault="009B7088" w:rsidP="006F4B1F">
      <w:pPr>
        <w:pStyle w:val="Prrafodelista"/>
        <w:numPr>
          <w:ilvl w:val="0"/>
          <w:numId w:val="2"/>
        </w:numPr>
        <w:spacing w:after="0" w:line="276" w:lineRule="auto"/>
        <w:ind w:left="426" w:hanging="219"/>
        <w:jc w:val="both"/>
      </w:pPr>
      <w:r>
        <w:t>Identificar los principales aspectos susceptibles de mejora del programa derivados de la evaluación, así como de los hallazgos relevantes.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77777777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>Trabajo de escritorio, mediante el cumplimiento de los Términos de Referencia para la Evaluación Específica del Desempeño.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9"/>
        <w:gridCol w:w="2126"/>
        <w:gridCol w:w="1843"/>
        <w:gridCol w:w="3260"/>
      </w:tblGrid>
      <w:tr w:rsidR="00581B4A" w:rsidRPr="009F31DF" w14:paraId="0AD764F8" w14:textId="77777777" w:rsidTr="00BB56BC">
        <w:trPr>
          <w:trHeight w:val="340"/>
        </w:trPr>
        <w:tc>
          <w:tcPr>
            <w:tcW w:w="9923" w:type="dxa"/>
            <w:gridSpan w:val="5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BB56BC">
        <w:trPr>
          <w:trHeight w:val="340"/>
        </w:trPr>
        <w:tc>
          <w:tcPr>
            <w:tcW w:w="2694" w:type="dxa"/>
            <w:gridSpan w:val="2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BB56BC">
        <w:trPr>
          <w:trHeight w:val="576"/>
        </w:trPr>
        <w:tc>
          <w:tcPr>
            <w:tcW w:w="1985" w:type="dxa"/>
            <w:vAlign w:val="center"/>
          </w:tcPr>
          <w:p w14:paraId="4BCD5639" w14:textId="77777777" w:rsidR="00581B4A" w:rsidRPr="00581B4A" w:rsidRDefault="00581B4A" w:rsidP="00521401">
            <w:pPr>
              <w:spacing w:after="0" w:line="276" w:lineRule="auto"/>
              <w:ind w:left="-533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F71ABF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Esquema de la Evaluación</w:t>
            </w:r>
          </w:p>
          <w:p w14:paraId="635641E2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t>Especifica de Desempeño</w:t>
            </w:r>
          </w:p>
        </w:tc>
      </w:tr>
      <w:tr w:rsidR="005D1F4D" w14:paraId="28F03B61" w14:textId="77777777" w:rsidTr="00BB5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</w:t>
      </w:r>
      <w:proofErr w:type="spellStart"/>
      <w:r>
        <w:t>TdR</w:t>
      </w:r>
      <w:proofErr w:type="spellEnd"/>
      <w:r>
        <w:t xml:space="preserve"> aplicados.</w:t>
      </w:r>
    </w:p>
    <w:p w14:paraId="385076F0" w14:textId="77777777" w:rsidR="006D38E2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  <w:sectPr w:rsidR="006D38E2" w:rsidSect="002C74F0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18" w:right="902" w:bottom="1134" w:left="1418" w:header="567" w:footer="266" w:gutter="0"/>
          <w:cols w:space="708"/>
          <w:titlePg/>
          <w:docGrid w:linePitch="360"/>
        </w:sectPr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823754" w14:paraId="62347B8F" w14:textId="77777777" w:rsidTr="00A165BB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651D32"/>
            <w:vAlign w:val="center"/>
          </w:tcPr>
          <w:p w14:paraId="01EFA909" w14:textId="77777777" w:rsidR="00823754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</w:pPr>
            <w:r w:rsidRPr="00823754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4CCE6D33" w14:textId="12B7B68A" w:rsidR="000C18FD" w:rsidRDefault="000C18FD" w:rsidP="000C18FD">
      <w:pPr>
        <w:spacing w:after="0" w:line="276" w:lineRule="auto"/>
        <w:ind w:left="284"/>
        <w:jc w:val="both"/>
      </w:pPr>
      <w:r>
        <w:t xml:space="preserve">Derivado de la pandemia </w:t>
      </w:r>
      <w:r w:rsidR="00E8582A">
        <w:t xml:space="preserve">por el </w:t>
      </w:r>
      <w:r>
        <w:t>SARS-COv2 (COVID-19), se presentó una gran problemática que modificó la forma en que se desarrolla</w:t>
      </w:r>
      <w:r w:rsidR="00E8582A">
        <w:t>ba</w:t>
      </w:r>
      <w:r>
        <w:t xml:space="preserve">n las actividades laborales, sociales, económicas y educativas de la población, </w:t>
      </w:r>
      <w:r w:rsidR="00E8582A">
        <w:t xml:space="preserve">originando que en el ejercicio fiscal 2021 se presentaran </w:t>
      </w:r>
      <w:r>
        <w:t xml:space="preserve">dificultades para ejecutar dichas actividades. </w:t>
      </w:r>
    </w:p>
    <w:p w14:paraId="264019EA" w14:textId="479F6830" w:rsidR="000C18FD" w:rsidRDefault="000C18FD" w:rsidP="000C18FD">
      <w:pPr>
        <w:spacing w:after="0" w:line="276" w:lineRule="auto"/>
        <w:ind w:left="284"/>
        <w:jc w:val="both"/>
      </w:pPr>
      <w:r>
        <w:t xml:space="preserve">Asimismo, ante la situación </w:t>
      </w:r>
      <w:r w:rsidR="008855AA">
        <w:t>presentada por el</w:t>
      </w:r>
      <w:r>
        <w:t xml:space="preserve"> COVID-19, las Autoridades Federales y Estatales establecieron medidas preventivas para aminorar las consecuencias de dicha pandemia, entre ellas, la suspensión temporal para la organización y realización de eventos masivos, la restricción para llevar a cabo actividades donde se requería la presencia de varias personas en un mismo lugar, por lo que, se vio afectado directamente los trabajos operativos del ISEJA</w:t>
      </w:r>
      <w:r w:rsidR="00B91723">
        <w:t>,</w:t>
      </w:r>
      <w:r>
        <w:t xml:space="preserve"> debido a </w:t>
      </w:r>
      <w:r w:rsidR="00B91723">
        <w:t xml:space="preserve"> </w:t>
      </w:r>
      <w:r w:rsidR="008855AA">
        <w:t xml:space="preserve">que tuvo que suspender </w:t>
      </w:r>
      <w:r>
        <w:t xml:space="preserve">la atención educativa de jóvenes y adultos en la modalidad presencial,  </w:t>
      </w:r>
      <w:r w:rsidR="00913E80">
        <w:t xml:space="preserve">ante este panorama </w:t>
      </w:r>
      <w:r>
        <w:t>y con el compromiso de seguir brindando los servicios</w:t>
      </w:r>
      <w:r w:rsidR="00913E80">
        <w:t xml:space="preserve"> educativos</w:t>
      </w:r>
      <w:r>
        <w:t xml:space="preserve"> a la población, se lograron establecer diferentes estrategias de atención como la asesoría a distancia, las jornadas de incorporación y de aplicación de exámenes en la modalidad impresos y en línea, con el objetivo de brindar la oportunidad a los educandos de reanudar su proceso educativo con el acompañamiento a distancia de su asesor y garantizar su conclusión de nivel. Es importante mencionar que en todo momento, se consideraron los protocolos de salud, además de la difusión del MEVYT en línea a través de las redes sociales para lograr la incorporación de jóvenes y adultos a los servicios educativos</w:t>
      </w:r>
      <w:r w:rsidR="00A07C74">
        <w:t xml:space="preserve"> en esta modalidad</w:t>
      </w:r>
      <w:r>
        <w:t xml:space="preserve">, por lo que al cierre del mes de diciembre concluyeron de nivel 9,780 jóvenes y adultos, 834 en el nivel inicial, 2,684 en primaria y 6,262 en secundaria, que equivale al 84.18%, no obstante, otros factores como la deserción del sistema escolarizado, incidieron para que los resultados de los indicadores de Tasa de variación anual de la población de 15 años o más en condición de rezago educativo, Porcentaje de población de 15 años y más en condición de rezago educativo que concluye la etapa de alfabetización, Porcentaje de población de 15 años y más en condición de rezago educativo que concluye el nivel de primaria y Porcentaje de población de 15 años y más en condición de rezago educativo que concluye el nivel de secundaria, no fueran los programados y por lo tanto, no se tuvo un impacto más considerable en la disminución del rezago educativo.  </w:t>
      </w:r>
    </w:p>
    <w:p w14:paraId="042EFE6D" w14:textId="382D41C8" w:rsidR="000C18FD" w:rsidRDefault="000C18FD" w:rsidP="000C18FD">
      <w:pPr>
        <w:spacing w:after="0" w:line="276" w:lineRule="auto"/>
        <w:ind w:left="284"/>
        <w:jc w:val="both"/>
      </w:pPr>
      <w:r>
        <w:t xml:space="preserve">De igual manera, </w:t>
      </w:r>
      <w:r w:rsidR="00A07C74">
        <w:t xml:space="preserve">los efectos por el COVID – 19 también </w:t>
      </w:r>
      <w:r w:rsidR="0033799F">
        <w:t>influyeron en</w:t>
      </w:r>
      <w:r w:rsidR="00A07C74">
        <w:t xml:space="preserve"> el</w:t>
      </w:r>
      <w:r>
        <w:t xml:space="preserve"> avance de los indicadores restantes</w:t>
      </w:r>
      <w:r w:rsidR="0033799F">
        <w:t>,</w:t>
      </w:r>
      <w:r w:rsidR="00A07C74">
        <w:t xml:space="preserve"> </w:t>
      </w:r>
      <w:r>
        <w:t>considerando que los trabajos que realiza el ISEJA son principalmente de campo a través de la incorporación y de contacto permanente con los educandos por medio de la atenc</w:t>
      </w:r>
      <w:r w:rsidR="00A07C74">
        <w:t>ión y la aplicación de exámenes,</w:t>
      </w:r>
      <w:r>
        <w:t xml:space="preserve"> sin embargo, como resultado a la implementación de las estrategias antes mencionadas principalmente el estudio del MEVYT en Línea y la presentación de exámenes en la misma modalidad en las plazas comunitarias,  coadyuvaron a que se cumpliera la meta programada de cinco indicadores con un desempeño optimo: Porcentaje  de usuarios que concluyen niveles intermedio y avanzado del MEVyT vinculados a Plazas Comunitarias de atención educativa y servicios integrales, Porcentaje de usuarios que concluyen nivel educativo del grupo en condición de vulnerabilidad de atención en el Modelo Educación para la Vida y el Trabajo (MEVyT), Porcentaje de usuarios hispanohablantes de 15 años y más que concluyen nivel en Alfabetización y/o Primaria y/o Secundaria en el Modelo de Educación para la vida y el Trabajo, Porcentaje de módulos en línea o digitales vinculados en el trimestre y Porcentaje de exámenes en línea aplicados del MEVyT.</w:t>
      </w:r>
    </w:p>
    <w:p w14:paraId="0053693A" w14:textId="3DCA4FF6" w:rsidR="00AB629A" w:rsidRPr="006505C2" w:rsidRDefault="000C18FD" w:rsidP="000C18FD">
      <w:pPr>
        <w:spacing w:after="0" w:line="276" w:lineRule="auto"/>
        <w:ind w:left="284"/>
        <w:jc w:val="both"/>
      </w:pPr>
      <w:r>
        <w:t xml:space="preserve">En cuanto a la programación de metas de educandos que concluyen nivel, estas fueron modificadas en el mes de septiembre del 2021, debido </w:t>
      </w:r>
      <w:r w:rsidR="00E46DE1">
        <w:t>a</w:t>
      </w:r>
      <w:r>
        <w:t xml:space="preserve"> la situación generada por el COVID-19 las condiciones no eran las </w:t>
      </w:r>
      <w:r>
        <w:lastRenderedPageBreak/>
        <w:t>adecuadas para el desarrollo de los trabajos operativos de manera regular y por consiguiente las metas asignadas al inicio del Ejercicio no eran factibles de cumplir.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08FCB9EA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</w:t>
            </w:r>
            <w:r w:rsidR="009576E0">
              <w:rPr>
                <w:b/>
                <w:bCs/>
              </w:rPr>
              <w:t>mas del Programa, Estrategia o I</w:t>
            </w:r>
            <w:r w:rsidRPr="003E1018">
              <w:rPr>
                <w:b/>
                <w:bCs/>
              </w:rPr>
              <w:t>nstituciones.</w:t>
            </w:r>
          </w:p>
        </w:tc>
      </w:tr>
    </w:tbl>
    <w:p w14:paraId="497F2C47" w14:textId="77777777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 xml:space="preserve">Fortalezas: </w:t>
      </w:r>
    </w:p>
    <w:p w14:paraId="4EBAF0F6" w14:textId="77777777" w:rsidR="000C18FD" w:rsidRDefault="000C18FD" w:rsidP="000C18FD">
      <w:pPr>
        <w:pStyle w:val="Prrafodelista"/>
        <w:numPr>
          <w:ilvl w:val="0"/>
          <w:numId w:val="7"/>
        </w:numPr>
        <w:spacing w:after="0" w:line="276" w:lineRule="auto"/>
        <w:jc w:val="both"/>
      </w:pPr>
      <w:r>
        <w:t>Contar con el Sistema Automatizado de Seguimiento y Acreditación (SASA) encargado en el registro y seguimiento de los educandos y su proceso educativo.</w:t>
      </w:r>
    </w:p>
    <w:p w14:paraId="42C8BC78" w14:textId="77777777" w:rsidR="000C18FD" w:rsidRDefault="000C18FD" w:rsidP="000C18FD">
      <w:pPr>
        <w:pStyle w:val="Prrafodelista"/>
        <w:numPr>
          <w:ilvl w:val="0"/>
          <w:numId w:val="7"/>
        </w:numPr>
        <w:spacing w:after="0" w:line="276" w:lineRule="auto"/>
        <w:jc w:val="both"/>
      </w:pPr>
      <w:r>
        <w:t xml:space="preserve">Brindar los servicios educativos de manera gratuita y mediante estrategias de atención, con un enfoque integral e incluyente, ampliando la cobertura educativa a grupos en situación de vulnerabilidad, especialmente a Jornaleros Agrícolas, Adultos Mayores, al grupo especial de niños y Jóvenes de 10 a 14 años, entre otros. </w:t>
      </w:r>
    </w:p>
    <w:p w14:paraId="222C1959" w14:textId="6CBD1339" w:rsidR="00AB629A" w:rsidRDefault="000C18FD" w:rsidP="000C18FD">
      <w:pPr>
        <w:pStyle w:val="Prrafodelista"/>
        <w:numPr>
          <w:ilvl w:val="0"/>
          <w:numId w:val="7"/>
        </w:numPr>
        <w:spacing w:after="0" w:line="276" w:lineRule="auto"/>
        <w:jc w:val="both"/>
      </w:pPr>
      <w:r>
        <w:t>Mantener una cobertura a nivel estatal, brindando sus servicios educativos a través de las Coordinaciones de Zona distribuidas en los 18 municipios.</w:t>
      </w:r>
    </w:p>
    <w:p w14:paraId="3A39C1FA" w14:textId="77777777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 xml:space="preserve">Oportunidades: </w:t>
      </w:r>
    </w:p>
    <w:p w14:paraId="14E70FB7" w14:textId="77777777" w:rsidR="000C18FD" w:rsidRPr="000C18FD" w:rsidRDefault="000C18FD" w:rsidP="000C18FD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000000"/>
          <w:lang w:val="es-ES" w:eastAsia="es-MX"/>
        </w:rPr>
      </w:pPr>
      <w:r w:rsidRPr="000C18FD">
        <w:rPr>
          <w:rFonts w:eastAsia="Times New Roman"/>
          <w:color w:val="000000"/>
          <w:lang w:val="es-ES" w:eastAsia="es-MX"/>
        </w:rPr>
        <w:t xml:space="preserve">Ampliación de la cobertura en la atención de nuevas localidades mediante la creación de círculos de estudio e incorporación de figuras. </w:t>
      </w:r>
    </w:p>
    <w:p w14:paraId="21ED23DD" w14:textId="77777777" w:rsidR="000C18FD" w:rsidRPr="000C18FD" w:rsidRDefault="000C18FD" w:rsidP="000C18FD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000000"/>
          <w:lang w:val="es-ES" w:eastAsia="es-MX"/>
        </w:rPr>
      </w:pPr>
      <w:r w:rsidRPr="000C18FD">
        <w:rPr>
          <w:rFonts w:eastAsia="Times New Roman"/>
          <w:color w:val="000000"/>
          <w:lang w:val="es-ES" w:eastAsia="es-MX"/>
        </w:rPr>
        <w:t>Programación y desarrollo de Jornadas de Incorporación y Acreditación.</w:t>
      </w:r>
    </w:p>
    <w:p w14:paraId="1B71EBCA" w14:textId="77777777" w:rsidR="000C18FD" w:rsidRPr="000C18FD" w:rsidRDefault="000C18FD" w:rsidP="000C18FD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000000"/>
          <w:lang w:val="es-ES" w:eastAsia="es-MX"/>
        </w:rPr>
      </w:pPr>
      <w:r w:rsidRPr="000C18FD">
        <w:rPr>
          <w:rFonts w:eastAsia="Times New Roman"/>
          <w:color w:val="000000"/>
          <w:lang w:val="es-ES" w:eastAsia="es-MX"/>
        </w:rPr>
        <w:t>Convenios de colaboración con Instituciones Educativas para que los estudiantes de nivel medio superior y superior presten su servicio social como apoyo en las tareas de incorporación y atención de jóvenes y adultos en rezago educativo.</w:t>
      </w:r>
    </w:p>
    <w:p w14:paraId="58DA89F4" w14:textId="77777777" w:rsidR="000C18FD" w:rsidRPr="000C18FD" w:rsidRDefault="000C18FD" w:rsidP="000C18FD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000000"/>
          <w:lang w:val="es-ES" w:eastAsia="es-MX"/>
        </w:rPr>
      </w:pPr>
      <w:r w:rsidRPr="000C18FD">
        <w:rPr>
          <w:rFonts w:eastAsia="Times New Roman"/>
          <w:color w:val="000000"/>
          <w:lang w:val="es-ES" w:eastAsia="es-MX"/>
        </w:rPr>
        <w:t>Mayor aprovechamiento de la modalidad del MEVyT en línea, para favorecer el ahorro en módulos impresos.</w:t>
      </w:r>
    </w:p>
    <w:p w14:paraId="5B3242D7" w14:textId="77777777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Debilidades:</w:t>
      </w:r>
    </w:p>
    <w:p w14:paraId="5B682790" w14:textId="77777777" w:rsidR="000C18FD" w:rsidRPr="000C18FD" w:rsidRDefault="000C18FD" w:rsidP="000C18FD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000000"/>
          <w:lang w:val="es-ES" w:eastAsia="es-MX"/>
        </w:rPr>
      </w:pPr>
      <w:r w:rsidRPr="000C18FD">
        <w:rPr>
          <w:rFonts w:eastAsia="Times New Roman"/>
          <w:color w:val="000000"/>
          <w:lang w:val="es-ES" w:eastAsia="es-MX"/>
        </w:rPr>
        <w:t>Falta de vinculación de nuevos asesores.</w:t>
      </w:r>
    </w:p>
    <w:p w14:paraId="5945D320" w14:textId="77777777" w:rsidR="000C18FD" w:rsidRPr="000C18FD" w:rsidRDefault="000C18FD" w:rsidP="000C18FD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000000"/>
          <w:lang w:val="es-ES" w:eastAsia="es-MX"/>
        </w:rPr>
      </w:pPr>
      <w:r w:rsidRPr="000C18FD">
        <w:rPr>
          <w:rFonts w:eastAsia="Times New Roman"/>
          <w:color w:val="000000"/>
          <w:lang w:val="es-ES" w:eastAsia="es-MX"/>
        </w:rPr>
        <w:t xml:space="preserve">Falta de disposición e interés por parte de algunas instituciones públicas y privadas para que su personal se incorpore a los servicios educativos. </w:t>
      </w:r>
    </w:p>
    <w:p w14:paraId="248795E6" w14:textId="77777777" w:rsidR="000C18FD" w:rsidRPr="000C18FD" w:rsidRDefault="000C18FD" w:rsidP="000C18FD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000000"/>
          <w:lang w:val="es-ES" w:eastAsia="es-MX"/>
        </w:rPr>
      </w:pPr>
      <w:r w:rsidRPr="000C18FD">
        <w:rPr>
          <w:rFonts w:eastAsia="Times New Roman"/>
          <w:color w:val="000000"/>
          <w:lang w:val="es-ES" w:eastAsia="es-MX"/>
        </w:rPr>
        <w:t xml:space="preserve">Renuencia al uso de las tecnologías de la información y comunicación principalmente de algunos adultos mayores. </w:t>
      </w:r>
    </w:p>
    <w:p w14:paraId="7182B87C" w14:textId="77777777" w:rsidR="000C18FD" w:rsidRPr="000C18FD" w:rsidRDefault="000C18FD" w:rsidP="000C18FD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000000"/>
          <w:lang w:val="es-ES" w:eastAsia="es-MX"/>
        </w:rPr>
      </w:pPr>
      <w:r w:rsidRPr="000C18FD">
        <w:rPr>
          <w:rFonts w:eastAsia="Times New Roman"/>
          <w:color w:val="000000"/>
          <w:lang w:val="es-ES" w:eastAsia="es-MX"/>
        </w:rPr>
        <w:t>Carencia de medios de transporte para que las figuras operativas visiten las comunidades marginadas (zonas serranas) y los altos costos de traslado.</w:t>
      </w:r>
    </w:p>
    <w:p w14:paraId="22DADFD3" w14:textId="3FF56475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Amenazas:</w:t>
      </w:r>
    </w:p>
    <w:p w14:paraId="6A38EA9F" w14:textId="77777777" w:rsidR="000C18FD" w:rsidRPr="000C18FD" w:rsidRDefault="000C18FD" w:rsidP="000C18FD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000000"/>
          <w:lang w:val="es-ES" w:eastAsia="es-MX"/>
        </w:rPr>
      </w:pPr>
      <w:r w:rsidRPr="000C18FD">
        <w:rPr>
          <w:rFonts w:eastAsia="Times New Roman"/>
          <w:color w:val="000000"/>
          <w:lang w:val="es-ES" w:eastAsia="es-MX"/>
        </w:rPr>
        <w:t>Deserción de los jóvenes atendidos en el sistema escolarizado que propicia un crecimiento constante en el rezago educativo, principalmente en el nivel secundaria.</w:t>
      </w:r>
    </w:p>
    <w:p w14:paraId="6F7040BF" w14:textId="77777777" w:rsidR="000C18FD" w:rsidRPr="000C18FD" w:rsidRDefault="000C18FD" w:rsidP="000C18FD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000000"/>
          <w:lang w:val="es-ES" w:eastAsia="es-MX"/>
        </w:rPr>
      </w:pPr>
      <w:r w:rsidRPr="000C18FD">
        <w:rPr>
          <w:rFonts w:eastAsia="Times New Roman"/>
          <w:color w:val="000000"/>
          <w:lang w:val="es-ES" w:eastAsia="es-MX"/>
        </w:rPr>
        <w:t>Falta de interés de jóvenes y adultos por iniciar o continuar con el estudio de su educación básica.</w:t>
      </w:r>
    </w:p>
    <w:p w14:paraId="42D75147" w14:textId="77777777" w:rsidR="000C18FD" w:rsidRPr="000C18FD" w:rsidRDefault="000C18FD" w:rsidP="000C18FD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000000"/>
          <w:lang w:val="es-ES" w:eastAsia="es-MX"/>
        </w:rPr>
      </w:pPr>
      <w:r w:rsidRPr="000C18FD">
        <w:rPr>
          <w:rFonts w:eastAsia="Times New Roman"/>
          <w:color w:val="000000"/>
          <w:lang w:val="es-ES" w:eastAsia="es-MX"/>
        </w:rPr>
        <w:t>Reducción del presupuesto derivado del plan de austeridad implementado por el gobierno federal.</w:t>
      </w:r>
    </w:p>
    <w:p w14:paraId="50FFF00C" w14:textId="77777777" w:rsidR="000C18FD" w:rsidRPr="000C18FD" w:rsidRDefault="000C18FD" w:rsidP="000C18FD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000000"/>
          <w:lang w:val="es-ES" w:eastAsia="es-MX"/>
        </w:rPr>
      </w:pPr>
      <w:r w:rsidRPr="000C18FD">
        <w:rPr>
          <w:rFonts w:eastAsia="Times New Roman"/>
          <w:color w:val="000000"/>
          <w:lang w:val="es-ES" w:eastAsia="es-MX"/>
        </w:rPr>
        <w:t xml:space="preserve">Migración de jóvenes y adultos demandantes del servicio educativo. </w:t>
      </w:r>
    </w:p>
    <w:p w14:paraId="3AD4C130" w14:textId="19B3170D" w:rsidR="000C18FD" w:rsidRPr="000C18FD" w:rsidRDefault="000C18FD" w:rsidP="000C18FD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000000"/>
          <w:lang w:val="es-ES" w:eastAsia="es-MX"/>
        </w:rPr>
      </w:pPr>
      <w:r w:rsidRPr="000C18FD">
        <w:rPr>
          <w:rFonts w:eastAsia="Times New Roman"/>
          <w:color w:val="000000"/>
          <w:lang w:val="es-ES" w:eastAsia="es-MX"/>
        </w:rPr>
        <w:t xml:space="preserve">Lejanía y </w:t>
      </w:r>
      <w:r w:rsidR="0014399A">
        <w:rPr>
          <w:rFonts w:eastAsia="Times New Roman"/>
          <w:color w:val="000000"/>
          <w:lang w:val="es-ES" w:eastAsia="es-MX"/>
        </w:rPr>
        <w:t xml:space="preserve">la </w:t>
      </w:r>
      <w:r w:rsidRPr="000C18FD">
        <w:rPr>
          <w:rFonts w:eastAsia="Times New Roman"/>
          <w:color w:val="000000"/>
          <w:lang w:val="es-ES" w:eastAsia="es-MX"/>
        </w:rPr>
        <w:t>dispersión de las comunidades, principalmente de los municipios serranos.</w:t>
      </w:r>
    </w:p>
    <w:p w14:paraId="2EAC5067" w14:textId="77777777" w:rsidR="000C18FD" w:rsidRPr="000C18FD" w:rsidRDefault="000C18FD" w:rsidP="000C18FD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000000"/>
          <w:lang w:val="es-ES" w:eastAsia="es-MX"/>
        </w:rPr>
      </w:pPr>
      <w:r w:rsidRPr="000C18FD">
        <w:rPr>
          <w:rFonts w:eastAsia="Times New Roman"/>
          <w:color w:val="000000"/>
          <w:lang w:val="es-ES" w:eastAsia="es-MX"/>
        </w:rPr>
        <w:t>Pandemia originada por el SARS-COVID 19.</w:t>
      </w:r>
    </w:p>
    <w:p w14:paraId="3C9EE10F" w14:textId="77777777" w:rsidR="00AB629A" w:rsidRDefault="00AB629A"/>
    <w:p w14:paraId="140776C9" w14:textId="77777777" w:rsidR="000C18FD" w:rsidRDefault="000C18FD"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AF2993" w14:paraId="2071B523" w14:textId="77777777" w:rsidTr="00090637">
        <w:trPr>
          <w:trHeight w:val="340"/>
        </w:trPr>
        <w:tc>
          <w:tcPr>
            <w:tcW w:w="9910" w:type="dxa"/>
            <w:shd w:val="clear" w:color="auto" w:fill="651D32"/>
            <w:vAlign w:val="center"/>
          </w:tcPr>
          <w:p w14:paraId="0D736EE3" w14:textId="4963C849" w:rsidR="00AF2993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</w:pPr>
            <w:r w:rsidRPr="00AF2993">
              <w:rPr>
                <w:b/>
                <w:bCs/>
                <w:color w:val="FFFFFF" w:themeColor="background1"/>
              </w:rPr>
              <w:lastRenderedPageBreak/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25100AE1" w14:textId="486050E8" w:rsidR="00BB6D7C" w:rsidRPr="006505C2" w:rsidRDefault="000C18FD" w:rsidP="000C18FD">
      <w:pPr>
        <w:tabs>
          <w:tab w:val="left" w:pos="2235"/>
        </w:tabs>
        <w:spacing w:after="0" w:line="276" w:lineRule="auto"/>
        <w:ind w:left="284"/>
        <w:jc w:val="both"/>
        <w:rPr>
          <w:lang w:val="es-ES"/>
        </w:rPr>
      </w:pPr>
      <w:r w:rsidRPr="000C18FD">
        <w:rPr>
          <w:lang w:val="es-ES"/>
        </w:rPr>
        <w:t>A través del ISEJA y con el compromiso de continuar brindando a los jóvenes y los adultos del Estado de Sinaloa, la oportunidad de aprender a leer y a escribir o estudiar su educación primaria y/o secundaria, se establecieron diversas estrategias de atención para contrarrestar los efectos del COVID-19, dándole prioridad a las plataformas digitales como la asesoría a distancia, la promoción del MEVYT en línea y la aplicación de exámenes en la misma modalidad, además de las jornadas de incorporación en las localidades de mayor rezago educativo; dando como resultado que en el ejercicio fiscal 2021, se lograra la incorporación de 6,497 jóvenes y adultos al programa, se atendieran a 18,315 jóvenes y adultos, mismos que recibieron de manera gratuita los servicios de asesorías, acreditación y certificación, logrando que al cierre del año 9,780 educandos concluyeran de nivel educativo.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77777777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29C155E8" w14:textId="77777777" w:rsidR="000C18FD" w:rsidRDefault="000C18FD" w:rsidP="000C18FD">
      <w:pPr>
        <w:pStyle w:val="Prrafodelista"/>
        <w:numPr>
          <w:ilvl w:val="0"/>
          <w:numId w:val="2"/>
        </w:numPr>
        <w:spacing w:after="0" w:line="276" w:lineRule="auto"/>
        <w:ind w:left="567" w:hanging="283"/>
        <w:jc w:val="both"/>
      </w:pPr>
      <w:r>
        <w:t>Ampliación de cobertura de atención en nuevas localidades mediante la creación de círculos de estudio e incorporación de figuras.</w:t>
      </w:r>
    </w:p>
    <w:p w14:paraId="7BFFBE33" w14:textId="77777777" w:rsidR="000C18FD" w:rsidRDefault="000C18FD" w:rsidP="000C18FD">
      <w:pPr>
        <w:pStyle w:val="Prrafodelista"/>
        <w:numPr>
          <w:ilvl w:val="0"/>
          <w:numId w:val="2"/>
        </w:numPr>
        <w:spacing w:after="0" w:line="276" w:lineRule="auto"/>
        <w:ind w:left="567" w:hanging="283"/>
        <w:jc w:val="both"/>
      </w:pPr>
      <w:r>
        <w:t xml:space="preserve">Programación y desarrollo de jornadas de incorporación y acreditación de educandos. </w:t>
      </w:r>
    </w:p>
    <w:p w14:paraId="6C667875" w14:textId="77777777" w:rsidR="000C18FD" w:rsidRDefault="000C18FD" w:rsidP="000C18FD">
      <w:pPr>
        <w:pStyle w:val="Prrafodelista"/>
        <w:numPr>
          <w:ilvl w:val="0"/>
          <w:numId w:val="2"/>
        </w:numPr>
        <w:spacing w:after="0" w:line="276" w:lineRule="auto"/>
        <w:ind w:left="567" w:hanging="283"/>
        <w:jc w:val="both"/>
      </w:pPr>
      <w:r>
        <w:t xml:space="preserve">Convenios de colaboración con Instituciones Educativas para que los estudiantes de nivel medio superior y superior presten su servicio social como apoyo en las tareas de incorporación y atención de jóvenes y adultos en rezago educativo. </w:t>
      </w:r>
    </w:p>
    <w:p w14:paraId="46F782E2" w14:textId="77777777" w:rsidR="000C18FD" w:rsidRDefault="000C18FD" w:rsidP="000C18FD">
      <w:pPr>
        <w:pStyle w:val="Prrafodelista"/>
        <w:numPr>
          <w:ilvl w:val="0"/>
          <w:numId w:val="2"/>
        </w:numPr>
        <w:spacing w:after="0" w:line="276" w:lineRule="auto"/>
        <w:ind w:left="567" w:hanging="283"/>
        <w:jc w:val="both"/>
      </w:pPr>
      <w:r>
        <w:t xml:space="preserve">Mayor aprovechamiento de la modalidad MEVyT en línea, para favorecer el ahorro en módulos impresos. </w:t>
      </w:r>
    </w:p>
    <w:p w14:paraId="5E73FBC3" w14:textId="77777777" w:rsidR="000C18FD" w:rsidRDefault="000C18FD" w:rsidP="000C18FD">
      <w:pPr>
        <w:pStyle w:val="Prrafodelista"/>
        <w:numPr>
          <w:ilvl w:val="0"/>
          <w:numId w:val="2"/>
        </w:numPr>
        <w:spacing w:after="0" w:line="276" w:lineRule="auto"/>
        <w:ind w:left="567" w:hanging="283"/>
        <w:jc w:val="both"/>
      </w:pPr>
      <w:r>
        <w:t>Continuar implementando estrategias para la prestación de servicios educativos en el Estado, apegándose a las medidas preventivas implementadas por el virus SARS-CoV2 (COVID-19.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p w14:paraId="05AC33A6" w14:textId="77777777" w:rsidR="00A165BB" w:rsidRDefault="00A165BB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5BAA969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651D32"/>
            <w:vAlign w:val="center"/>
          </w:tcPr>
          <w:p w14:paraId="563C2029" w14:textId="77777777" w:rsidR="00BB6D7C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</w:pPr>
            <w:r w:rsidRPr="00BB6D7C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133709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F2C" w14:textId="77777777" w:rsidR="006C747D" w:rsidRPr="00133709" w:rsidRDefault="00133709" w:rsidP="00521401">
            <w:pPr>
              <w:spacing w:after="0" w:line="276" w:lineRule="auto"/>
              <w:ind w:left="179"/>
            </w:pPr>
            <w:r>
              <w:t xml:space="preserve">Jorge Alfredo </w:t>
            </w:r>
            <w:proofErr w:type="spellStart"/>
            <w:r>
              <w:t>Gameros</w:t>
            </w:r>
            <w:proofErr w:type="spellEnd"/>
            <w:r>
              <w:t xml:space="preserve"> Rojas</w:t>
            </w:r>
          </w:p>
        </w:tc>
      </w:tr>
      <w:tr w:rsidR="006C747D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133709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66A" w14:textId="77777777" w:rsidR="006C747D" w:rsidRPr="00133709" w:rsidRDefault="00133709" w:rsidP="00521401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C747D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C747D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C5F0" w14:textId="77777777" w:rsidR="006C747D" w:rsidRPr="00133709" w:rsidRDefault="00133709" w:rsidP="00521401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C747D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C747D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A3B6" w14:textId="77777777" w:rsidR="006C747D" w:rsidRPr="00133709" w:rsidRDefault="00133709" w:rsidP="00521401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C747D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C747D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494" w14:textId="515AE882" w:rsidR="006C747D" w:rsidRPr="00133709" w:rsidRDefault="00927BF6" w:rsidP="00521401">
            <w:pPr>
              <w:spacing w:after="0" w:line="276" w:lineRule="auto"/>
              <w:ind w:left="179"/>
            </w:pPr>
            <w:hyperlink r:id="rId12" w:history="1">
              <w:r w:rsidRPr="00901A37">
                <w:rPr>
                  <w:rStyle w:val="Hipervnculo"/>
                </w:rPr>
                <w:t>jorge.gameros@sinaloa.gob.mx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  <w:tr w:rsidR="006C747D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C747D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6A92" w14:textId="77777777" w:rsidR="006C747D" w:rsidRPr="00133709" w:rsidRDefault="006C747D" w:rsidP="00521401">
            <w:pPr>
              <w:spacing w:after="0" w:line="276" w:lineRule="auto"/>
              <w:ind w:left="179"/>
            </w:pPr>
            <w:r w:rsidRPr="007301C5">
              <w:t>(667)</w:t>
            </w:r>
            <w:r w:rsidR="00133709"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p w14:paraId="5BC36598" w14:textId="77777777" w:rsidR="000C18FD" w:rsidRDefault="000C18FD"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7C4CD6" w14:paraId="449405D2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651D32"/>
            <w:vAlign w:val="center"/>
          </w:tcPr>
          <w:p w14:paraId="57932F8D" w14:textId="1DF85AE3" w:rsidR="007C4CD6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</w:pPr>
            <w:r w:rsidRPr="00BA4A59">
              <w:rPr>
                <w:rFonts w:eastAsia="Times New Roman"/>
                <w:b/>
                <w:color w:val="FFFFFF"/>
                <w:lang w:eastAsia="es-MX"/>
              </w:rPr>
              <w:lastRenderedPageBreak/>
              <w:t>Identificación del (os) Programa(</w:t>
            </w:r>
            <w:r>
              <w:rPr>
                <w:rFonts w:eastAsia="Times New Roman"/>
                <w:b/>
                <w:color w:val="FFFFFF"/>
                <w:lang w:eastAsia="es-MX"/>
              </w:rPr>
              <w:t>s</w:t>
            </w:r>
            <w:r w:rsidRPr="00BA4A59">
              <w:rPr>
                <w:rFonts w:eastAsia="Times New Roman"/>
                <w:b/>
                <w:color w:val="FFFFFF"/>
                <w:lang w:eastAsia="es-MX"/>
              </w:rPr>
              <w:t>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44738BAF" w14:textId="4E60C7D8" w:rsidR="007C4CD6" w:rsidRPr="00521401" w:rsidRDefault="000C18FD" w:rsidP="00521401">
            <w:pPr>
              <w:spacing w:after="0" w:line="276" w:lineRule="auto"/>
              <w:ind w:left="179"/>
            </w:pPr>
            <w:r>
              <w:rPr>
                <w:rFonts w:eastAsia="Times New Roman"/>
                <w:color w:val="000000"/>
                <w:lang w:eastAsia="es-MX"/>
              </w:rPr>
              <w:t>Servicios Descentralizados para la Educación de los Adultos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AB629A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850CE8D" w14:textId="36697C40" w:rsidR="007C4CD6" w:rsidRPr="007C4CD6" w:rsidRDefault="000C18FD" w:rsidP="00521401">
            <w:pPr>
              <w:spacing w:after="0" w:line="276" w:lineRule="auto"/>
              <w:ind w:left="179"/>
            </w:pPr>
            <w:r>
              <w:rPr>
                <w:rFonts w:eastAsia="Times New Roman"/>
                <w:color w:val="000000"/>
                <w:lang w:eastAsia="es-MX"/>
              </w:rPr>
              <w:t>SD</w:t>
            </w:r>
            <w:r>
              <w:rPr>
                <w:rFonts w:eastAsia="Times New Roman"/>
                <w:bCs/>
                <w:color w:val="000000"/>
                <w:lang w:eastAsia="es-MX"/>
              </w:rPr>
              <w:t>EA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AB629A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53808F" w14:textId="730C0260" w:rsidR="007C4CD6" w:rsidRPr="007C4CD6" w:rsidRDefault="000C18FD" w:rsidP="00521401">
            <w:pPr>
              <w:spacing w:after="0" w:line="276" w:lineRule="auto"/>
              <w:ind w:left="179"/>
            </w:pPr>
            <w:r>
              <w:rPr>
                <w:rFonts w:eastAsia="Times New Roman"/>
                <w:color w:val="000000"/>
                <w:lang w:eastAsia="es-MX"/>
              </w:rPr>
              <w:t xml:space="preserve">Instituto Sinaloense para la Educación de los </w:t>
            </w:r>
            <w:r w:rsidR="00915635">
              <w:rPr>
                <w:rFonts w:eastAsia="Times New Roman"/>
                <w:color w:val="000000"/>
                <w:lang w:eastAsia="es-MX"/>
              </w:rPr>
              <w:t xml:space="preserve">Jóvenes y </w:t>
            </w:r>
            <w:r>
              <w:rPr>
                <w:rFonts w:eastAsia="Times New Roman"/>
                <w:color w:val="000000"/>
                <w:lang w:eastAsia="es-MX"/>
              </w:rPr>
              <w:t>Adultos</w:t>
            </w:r>
            <w:r>
              <w:rPr>
                <w:rFonts w:eastAsia="Times New Roman"/>
                <w:bCs/>
                <w:color w:val="000000"/>
                <w:lang w:eastAsia="es-MX"/>
              </w:rPr>
              <w:t xml:space="preserve"> (ISE</w:t>
            </w:r>
            <w:r w:rsidR="00915635">
              <w:rPr>
                <w:rFonts w:eastAsia="Times New Roman"/>
                <w:bCs/>
                <w:color w:val="000000"/>
                <w:lang w:eastAsia="es-MX"/>
              </w:rPr>
              <w:t xml:space="preserve">J </w:t>
            </w:r>
            <w:r>
              <w:rPr>
                <w:rFonts w:eastAsia="Times New Roman"/>
                <w:bCs/>
                <w:color w:val="000000"/>
                <w:lang w:eastAsia="es-MX"/>
              </w:rPr>
              <w:t>A)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AB629A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43D369B0" w14:textId="3EEB0CBD" w:rsidR="005A28B9" w:rsidRPr="00A16BE7" w:rsidRDefault="00AB629A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A5616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0C18FD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06EEC80E" w14:textId="010C8F0B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17D875F" w14:textId="2A0590C5" w:rsidR="00090637" w:rsidRPr="00090637" w:rsidRDefault="000C18FD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2C74F0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7091B8EA" w14:textId="20B9E89B" w:rsidR="005065B9" w:rsidRPr="00521401" w:rsidRDefault="0085672F" w:rsidP="0085672F">
            <w:pPr>
              <w:spacing w:after="0" w:line="276" w:lineRule="auto"/>
              <w:ind w:left="179"/>
            </w:pPr>
            <w:r>
              <w:t>Dr. Rubén Miranda López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5065B9" w14:paraId="6370D0DF" w14:textId="77777777" w:rsidTr="002C74F0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54E4AA94" w14:textId="2DC4349D" w:rsidR="005065B9" w:rsidRPr="007301C5" w:rsidRDefault="00EF4537" w:rsidP="002C74F0">
            <w:pPr>
              <w:spacing w:after="0" w:line="276" w:lineRule="auto"/>
              <w:ind w:left="179"/>
            </w:pPr>
            <w:hyperlink r:id="rId13" w:history="1">
              <w:r w:rsidR="002C74F0" w:rsidRPr="00FB35CF">
                <w:rPr>
                  <w:rStyle w:val="Hipervnculo"/>
                </w:rPr>
                <w:t>rmiranda@inea.gob.mx</w:t>
              </w:r>
            </w:hyperlink>
            <w:r w:rsidR="002C74F0">
              <w:t xml:space="preserve"> </w:t>
            </w:r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5065B9" w14:paraId="3C5D9DC6" w14:textId="77777777" w:rsidTr="002C74F0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138DA773" w14:textId="136FC2A2" w:rsidR="005065B9" w:rsidRPr="0085672F" w:rsidRDefault="0085672F" w:rsidP="005065B9">
            <w:pPr>
              <w:spacing w:after="0" w:line="276" w:lineRule="auto"/>
              <w:ind w:left="179"/>
            </w:pPr>
            <w:r w:rsidRPr="002C74F0">
              <w:t>Instituto Sinaloense para la Educación de los Jóvenes y Adultos (ISEJA)</w:t>
            </w:r>
          </w:p>
        </w:tc>
      </w:tr>
      <w:tr w:rsidR="00A753A2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 w:rsidR="00287214"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5065B9" w14:paraId="49F6EF2F" w14:textId="77777777" w:rsidTr="002C74F0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6F19C066" w14:textId="6A45A561" w:rsidR="005065B9" w:rsidRPr="007301C5" w:rsidRDefault="005065B9" w:rsidP="00AA0950">
            <w:pPr>
              <w:spacing w:after="0" w:line="276" w:lineRule="auto"/>
              <w:ind w:left="179"/>
            </w:pPr>
            <w:r w:rsidRPr="0058649A">
              <w:t xml:space="preserve">(667) </w:t>
            </w:r>
            <w:r w:rsidR="008123CC" w:rsidRPr="002C74F0">
              <w:t>715</w:t>
            </w:r>
            <w:r w:rsidR="002C74F0">
              <w:t xml:space="preserve"> </w:t>
            </w:r>
            <w:r w:rsidR="008123CC" w:rsidRPr="002C74F0">
              <w:t>03</w:t>
            </w:r>
            <w:r w:rsidR="002C74F0">
              <w:t xml:space="preserve"> </w:t>
            </w:r>
            <w:r w:rsidR="008123CC" w:rsidRPr="002C74F0">
              <w:t>32,</w:t>
            </w:r>
            <w:r w:rsidR="00AA0950" w:rsidRPr="002C74F0">
              <w:t xml:space="preserve"> </w:t>
            </w:r>
            <w:r w:rsidR="008123CC" w:rsidRPr="002C74F0">
              <w:t>715</w:t>
            </w:r>
            <w:r w:rsidR="002C74F0">
              <w:t xml:space="preserve"> </w:t>
            </w:r>
            <w:r w:rsidR="008123CC" w:rsidRPr="002C74F0">
              <w:t>36</w:t>
            </w:r>
            <w:r w:rsidR="002C74F0">
              <w:t xml:space="preserve"> </w:t>
            </w:r>
            <w:r w:rsidR="008123CC" w:rsidRPr="002C74F0">
              <w:t>73</w:t>
            </w:r>
            <w:r w:rsidR="00AA0950" w:rsidRPr="002C74F0">
              <w:t>, 713</w:t>
            </w:r>
            <w:r w:rsidR="002C74F0">
              <w:t xml:space="preserve"> </w:t>
            </w:r>
            <w:r w:rsidR="00AA0950" w:rsidRPr="002C74F0">
              <w:t>90</w:t>
            </w:r>
            <w:r w:rsidR="002C74F0">
              <w:t xml:space="preserve"> </w:t>
            </w:r>
            <w:r w:rsidR="00AA0950" w:rsidRPr="002C74F0">
              <w:t>68 Ext. 521</w:t>
            </w:r>
          </w:p>
        </w:tc>
      </w:tr>
    </w:tbl>
    <w:p w14:paraId="222ABE39" w14:textId="77777777" w:rsidR="00090637" w:rsidRDefault="00090637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090637" w14:paraId="732B5D3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651D32"/>
            <w:vAlign w:val="center"/>
          </w:tcPr>
          <w:p w14:paraId="1529799E" w14:textId="77777777" w:rsidR="00090637" w:rsidRPr="00866990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</w:pPr>
            <w:r w:rsidRPr="00866990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shd w:val="clear" w:color="auto" w:fill="auto"/>
            <w:vAlign w:val="center"/>
          </w:tcPr>
          <w:p w14:paraId="22D310B8" w14:textId="77777777" w:rsidR="00A06CEF" w:rsidRPr="00866990" w:rsidRDefault="00C61D21" w:rsidP="00A06CEF">
            <w:pPr>
              <w:spacing w:after="0" w:line="276" w:lineRule="auto"/>
            </w:pPr>
            <w:r w:rsidRPr="00866990">
              <w:t>Evaluación Interna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090637" w14:paraId="4305D4C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334040E1" w14:textId="77777777" w:rsidR="00090637" w:rsidRPr="00866990" w:rsidRDefault="00090637" w:rsidP="00521401">
            <w:pPr>
              <w:spacing w:after="0" w:line="276" w:lineRule="auto"/>
              <w:ind w:left="179"/>
            </w:pP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090637" w14:paraId="5CBDEAA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2A2EB40C" w14:textId="77777777" w:rsidR="00090637" w:rsidRPr="00866990" w:rsidRDefault="00C61D21" w:rsidP="00521401">
            <w:pPr>
              <w:spacing w:after="0" w:line="276" w:lineRule="auto"/>
              <w:ind w:left="179"/>
            </w:pPr>
            <w:r w:rsidRPr="00866990">
              <w:t>$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4C435E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64613A" w14:textId="77777777" w:rsidR="004C435E" w:rsidRPr="00866990" w:rsidRDefault="004C435E" w:rsidP="004C435E">
            <w:pPr>
              <w:spacing w:after="0" w:line="276" w:lineRule="auto"/>
              <w:ind w:left="179"/>
            </w:pPr>
          </w:p>
        </w:tc>
      </w:tr>
      <w:tr w:rsidR="00090637" w14:paraId="2A1035F1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1A46D2C3" w14:textId="77777777" w:rsidR="004C435E" w:rsidRPr="00866990" w:rsidRDefault="004C435E" w:rsidP="000D2A1A">
            <w:pPr>
              <w:spacing w:after="0" w:line="276" w:lineRule="auto"/>
            </w:pPr>
          </w:p>
        </w:tc>
      </w:tr>
    </w:tbl>
    <w:p w14:paraId="709F661F" w14:textId="77777777" w:rsidR="00AB629A" w:rsidRDefault="00AB629A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090637" w14:paraId="48B7EE0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651D32"/>
            <w:vAlign w:val="center"/>
          </w:tcPr>
          <w:p w14:paraId="4AF233BE" w14:textId="274A8364" w:rsidR="00090637" w:rsidRPr="00866990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</w:pPr>
            <w:r w:rsidRPr="00866990">
              <w:rPr>
                <w:b/>
                <w:bCs/>
                <w:color w:val="FFFFFF" w:themeColor="background1"/>
              </w:rPr>
              <w:lastRenderedPageBreak/>
              <w:t>D</w:t>
            </w:r>
            <w:r w:rsidR="007D00B1" w:rsidRPr="00866990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090637">
      <w:pPr>
        <w:spacing w:after="0" w:line="276" w:lineRule="auto"/>
        <w:jc w:val="both"/>
        <w:rPr>
          <w:lang w:val="es-ES"/>
        </w:rPr>
      </w:pPr>
    </w:p>
    <w:sectPr w:rsidR="00090637" w:rsidRPr="00AF2993" w:rsidSect="002C74F0">
      <w:pgSz w:w="12240" w:h="15840"/>
      <w:pgMar w:top="1418" w:right="902" w:bottom="1134" w:left="1418" w:header="567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67958" w14:textId="77777777" w:rsidR="00EF4537" w:rsidRDefault="00EF4537" w:rsidP="008E5209">
      <w:pPr>
        <w:spacing w:after="0" w:line="240" w:lineRule="auto"/>
      </w:pPr>
      <w:r>
        <w:separator/>
      </w:r>
    </w:p>
  </w:endnote>
  <w:endnote w:type="continuationSeparator" w:id="0">
    <w:p w14:paraId="0C5E5E1C" w14:textId="77777777" w:rsidR="00EF4537" w:rsidRDefault="00EF4537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ourier New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  <w:sz w:val="18"/>
        <w:szCs w:val="18"/>
      </w:rPr>
      <w:id w:val="1642303576"/>
      <w:docPartObj>
        <w:docPartGallery w:val="Page Numbers (Bottom of Page)"/>
        <w:docPartUnique/>
      </w:docPartObj>
    </w:sdtPr>
    <w:sdtEndPr/>
    <w:sdtContent>
      <w:p w14:paraId="6ABA89A6" w14:textId="77777777" w:rsidR="002C74F0" w:rsidRPr="00226E1B" w:rsidRDefault="002C74F0" w:rsidP="002C74F0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2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0D417687" w14:textId="77777777" w:rsidR="002C74F0" w:rsidRPr="002C74F0" w:rsidRDefault="002C74F0" w:rsidP="002C74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58C50ED7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AA0950" w:rsidRPr="00AA0950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60064" w14:textId="77777777" w:rsidR="00EF4537" w:rsidRDefault="00EF4537" w:rsidP="008E5209">
      <w:pPr>
        <w:spacing w:after="0" w:line="240" w:lineRule="auto"/>
      </w:pPr>
      <w:r>
        <w:separator/>
      </w:r>
    </w:p>
  </w:footnote>
  <w:footnote w:type="continuationSeparator" w:id="0">
    <w:p w14:paraId="4E2CC1F5" w14:textId="77777777" w:rsidR="00EF4537" w:rsidRDefault="00EF4537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427E2" w14:textId="77777777" w:rsidR="00AB629A" w:rsidRDefault="00AB629A" w:rsidP="00AB629A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0EE17961" wp14:editId="7AFA2965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5C5E">
      <w:rPr>
        <w:rFonts w:ascii="Medium" w:hAnsi="Medium" w:cs="Arial"/>
        <w:b/>
        <w:color w:val="651D32"/>
        <w:sz w:val="26"/>
        <w:szCs w:val="26"/>
      </w:rPr>
      <w:t xml:space="preserve">Formato para la Difusión de los Resultados de la Evaluación del </w:t>
    </w:r>
    <w:r>
      <w:rPr>
        <w:rFonts w:ascii="Medium" w:hAnsi="Medium" w:cs="Arial"/>
        <w:b/>
        <w:color w:val="651D32"/>
        <w:sz w:val="26"/>
        <w:szCs w:val="26"/>
      </w:rPr>
      <w:t>programa</w:t>
    </w:r>
  </w:p>
  <w:p w14:paraId="47C3A009" w14:textId="07236631" w:rsidR="00AB629A" w:rsidRPr="00AB629A" w:rsidRDefault="00AB629A" w:rsidP="00AB62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FD386" w14:textId="77777777" w:rsidR="0086126F" w:rsidRDefault="006047A9" w:rsidP="0085511A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A65C5E">
      <w:rPr>
        <w:rFonts w:ascii="Medium" w:hAnsi="Medium" w:cs="Arial"/>
        <w:b/>
        <w:color w:val="651D32"/>
        <w:sz w:val="26"/>
        <w:szCs w:val="26"/>
      </w:rPr>
      <w:t>Formato para la Difusión de los Resultados de la Evaluaci</w:t>
    </w:r>
    <w:r w:rsidR="002272AA" w:rsidRPr="00A65C5E">
      <w:rPr>
        <w:rFonts w:ascii="Medium" w:hAnsi="Medium" w:cs="Arial"/>
        <w:b/>
        <w:color w:val="651D32"/>
        <w:sz w:val="26"/>
        <w:szCs w:val="26"/>
      </w:rPr>
      <w:t xml:space="preserve">ón del </w:t>
    </w:r>
    <w:r w:rsidR="00A65C5E">
      <w:rPr>
        <w:rFonts w:ascii="Medium" w:hAnsi="Medium" w:cs="Arial"/>
        <w:b/>
        <w:color w:val="651D32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BD14868_"/>
      </v:shape>
    </w:pict>
  </w:numPicBullet>
  <w:abstractNum w:abstractNumId="0" w15:restartNumberingAfterBreak="0">
    <w:nsid w:val="11D00CA9"/>
    <w:multiLevelType w:val="multilevel"/>
    <w:tmpl w:val="080A001F"/>
    <w:numStyleLink w:val="Estilo1"/>
  </w:abstractNum>
  <w:abstractNum w:abstractNumId="1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6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9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0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13"/>
  </w:num>
  <w:num w:numId="7">
    <w:abstractNumId w:val="14"/>
  </w:num>
  <w:num w:numId="8">
    <w:abstractNumId w:val="15"/>
  </w:num>
  <w:num w:numId="9">
    <w:abstractNumId w:val="7"/>
  </w:num>
  <w:num w:numId="10">
    <w:abstractNumId w:val="3"/>
  </w:num>
  <w:num w:numId="11">
    <w:abstractNumId w:val="4"/>
  </w:num>
  <w:num w:numId="12">
    <w:abstractNumId w:val="12"/>
  </w:num>
  <w:num w:numId="13">
    <w:abstractNumId w:val="11"/>
  </w:num>
  <w:num w:numId="14">
    <w:abstractNumId w:val="9"/>
  </w:num>
  <w:num w:numId="15">
    <w:abstractNumId w:val="5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18FD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419F"/>
    <w:rsid w:val="00121D44"/>
    <w:rsid w:val="00131E38"/>
    <w:rsid w:val="00133709"/>
    <w:rsid w:val="0014399A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1C8"/>
    <w:rsid w:val="002272AA"/>
    <w:rsid w:val="00230930"/>
    <w:rsid w:val="002312DF"/>
    <w:rsid w:val="00233D0F"/>
    <w:rsid w:val="002356D5"/>
    <w:rsid w:val="0023762C"/>
    <w:rsid w:val="002422A9"/>
    <w:rsid w:val="00256B08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74F0"/>
    <w:rsid w:val="002D1AFC"/>
    <w:rsid w:val="002D3EA7"/>
    <w:rsid w:val="002D457E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3799F"/>
    <w:rsid w:val="00342BB1"/>
    <w:rsid w:val="00345DBF"/>
    <w:rsid w:val="00351B94"/>
    <w:rsid w:val="0036452B"/>
    <w:rsid w:val="003671EF"/>
    <w:rsid w:val="00375FD1"/>
    <w:rsid w:val="003800F3"/>
    <w:rsid w:val="003867E1"/>
    <w:rsid w:val="003917C6"/>
    <w:rsid w:val="003954C6"/>
    <w:rsid w:val="00395F14"/>
    <w:rsid w:val="003964B5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C10D1"/>
    <w:rsid w:val="004C1175"/>
    <w:rsid w:val="004C1F58"/>
    <w:rsid w:val="004C36DB"/>
    <w:rsid w:val="004C435E"/>
    <w:rsid w:val="004D131A"/>
    <w:rsid w:val="004D31EC"/>
    <w:rsid w:val="004E2AE5"/>
    <w:rsid w:val="004E5966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E2E2D"/>
    <w:rsid w:val="005E44FA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7E0D"/>
    <w:rsid w:val="006F3A57"/>
    <w:rsid w:val="006F4B1F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41F8"/>
    <w:rsid w:val="007610AB"/>
    <w:rsid w:val="00782C22"/>
    <w:rsid w:val="00784BFB"/>
    <w:rsid w:val="007862E9"/>
    <w:rsid w:val="007967D9"/>
    <w:rsid w:val="007A0C17"/>
    <w:rsid w:val="007A0D4E"/>
    <w:rsid w:val="007A73AA"/>
    <w:rsid w:val="007A782D"/>
    <w:rsid w:val="007B4768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123CC"/>
    <w:rsid w:val="00822FE3"/>
    <w:rsid w:val="00823754"/>
    <w:rsid w:val="00827FA5"/>
    <w:rsid w:val="0083482F"/>
    <w:rsid w:val="008405A6"/>
    <w:rsid w:val="0085511A"/>
    <w:rsid w:val="00855D89"/>
    <w:rsid w:val="0085672F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855AA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E7620"/>
    <w:rsid w:val="008F0494"/>
    <w:rsid w:val="008F1D6E"/>
    <w:rsid w:val="008F370D"/>
    <w:rsid w:val="0091170D"/>
    <w:rsid w:val="00913E80"/>
    <w:rsid w:val="00915635"/>
    <w:rsid w:val="00915DBE"/>
    <w:rsid w:val="009160E1"/>
    <w:rsid w:val="0092465C"/>
    <w:rsid w:val="00925C75"/>
    <w:rsid w:val="009263AC"/>
    <w:rsid w:val="00927BF6"/>
    <w:rsid w:val="00934890"/>
    <w:rsid w:val="009352D5"/>
    <w:rsid w:val="00950021"/>
    <w:rsid w:val="009576E0"/>
    <w:rsid w:val="0096110F"/>
    <w:rsid w:val="009768FB"/>
    <w:rsid w:val="0098143F"/>
    <w:rsid w:val="00983315"/>
    <w:rsid w:val="009A182A"/>
    <w:rsid w:val="009A3BA4"/>
    <w:rsid w:val="009B3B2B"/>
    <w:rsid w:val="009B5E2C"/>
    <w:rsid w:val="009B7088"/>
    <w:rsid w:val="009B795A"/>
    <w:rsid w:val="009C09E2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A01187"/>
    <w:rsid w:val="00A0130B"/>
    <w:rsid w:val="00A04263"/>
    <w:rsid w:val="00A06B19"/>
    <w:rsid w:val="00A06C49"/>
    <w:rsid w:val="00A06CEF"/>
    <w:rsid w:val="00A07C74"/>
    <w:rsid w:val="00A165BB"/>
    <w:rsid w:val="00A16C5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3712"/>
    <w:rsid w:val="00A63A24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0950"/>
    <w:rsid w:val="00AA2447"/>
    <w:rsid w:val="00AA3309"/>
    <w:rsid w:val="00AA6734"/>
    <w:rsid w:val="00AB2884"/>
    <w:rsid w:val="00AB5C90"/>
    <w:rsid w:val="00AB629A"/>
    <w:rsid w:val="00AC54AF"/>
    <w:rsid w:val="00AC620E"/>
    <w:rsid w:val="00AD0ADD"/>
    <w:rsid w:val="00AE0BD1"/>
    <w:rsid w:val="00AE4E69"/>
    <w:rsid w:val="00AE5C01"/>
    <w:rsid w:val="00AF2993"/>
    <w:rsid w:val="00B07E60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7FBE"/>
    <w:rsid w:val="00B91723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1C9C"/>
    <w:rsid w:val="00BF1F13"/>
    <w:rsid w:val="00BF25EA"/>
    <w:rsid w:val="00BF698D"/>
    <w:rsid w:val="00C04B92"/>
    <w:rsid w:val="00C103A7"/>
    <w:rsid w:val="00C17070"/>
    <w:rsid w:val="00C2107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42310"/>
    <w:rsid w:val="00E46DE1"/>
    <w:rsid w:val="00E474E8"/>
    <w:rsid w:val="00E4783D"/>
    <w:rsid w:val="00E529A2"/>
    <w:rsid w:val="00E55352"/>
    <w:rsid w:val="00E66462"/>
    <w:rsid w:val="00E74948"/>
    <w:rsid w:val="00E8582A"/>
    <w:rsid w:val="00E85EDC"/>
    <w:rsid w:val="00E91A09"/>
    <w:rsid w:val="00E95051"/>
    <w:rsid w:val="00EA4287"/>
    <w:rsid w:val="00EB345E"/>
    <w:rsid w:val="00EB4CD4"/>
    <w:rsid w:val="00EC21F6"/>
    <w:rsid w:val="00EC3814"/>
    <w:rsid w:val="00EC63B6"/>
    <w:rsid w:val="00ED0FAB"/>
    <w:rsid w:val="00ED2843"/>
    <w:rsid w:val="00EE32E3"/>
    <w:rsid w:val="00EF4537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D4900A40-5B1F-40C9-942A-0B66CD7B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C74F0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395F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rmiranda@inea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rge.gameros@sinaloa.gob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43F74-CAA5-43D9-A279-5BB1255A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</Template>
  <TotalTime>269</TotalTime>
  <Pages>6</Pages>
  <Words>1928</Words>
  <Characters>10606</Characters>
  <Application>Microsoft Office Word</Application>
  <DocSecurity>0</DocSecurity>
  <Lines>88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Evaluacion</cp:lastModifiedBy>
  <cp:revision>17</cp:revision>
  <cp:lastPrinted>2022-06-17T19:35:00Z</cp:lastPrinted>
  <dcterms:created xsi:type="dcterms:W3CDTF">2022-06-23T20:13:00Z</dcterms:created>
  <dcterms:modified xsi:type="dcterms:W3CDTF">2022-08-11T16:38:00Z</dcterms:modified>
</cp:coreProperties>
</file>